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rPr>
          <w:rFonts w:ascii="微软雅黑" w:hAnsi="微软雅黑" w:eastAsia="微软雅黑" w:cs="宋体"/>
          <w:b/>
          <w:bCs/>
          <w:kern w:val="0"/>
          <w:szCs w:val="21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kern w:val="0"/>
          <w:szCs w:val="21"/>
        </w:rPr>
        <w:t>附件</w:t>
      </w:r>
      <w:r>
        <w:rPr>
          <w:rFonts w:ascii="微软雅黑" w:hAnsi="微软雅黑" w:eastAsia="微软雅黑" w:cs="宋体"/>
          <w:b/>
          <w:bCs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b/>
          <w:bCs/>
          <w:kern w:val="0"/>
          <w:szCs w:val="21"/>
        </w:rPr>
        <w:t>第六届高分年会征文方向一览表</w:t>
      </w:r>
    </w:p>
    <w:bookmarkEnd w:id="0"/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5029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6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5029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ind w:firstLine="422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征文技术专题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分会方向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strike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先进探测理论与方法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对地观测新概念与</w:t>
            </w:r>
            <w:r>
              <w:rPr>
                <w:szCs w:val="21"/>
              </w:rPr>
              <w:t>前沿</w:t>
            </w: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新体制遥感数据获取与处理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星上实时在轨处理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星地协同处理机制与方法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校正与缺失信息重建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场景</w:t>
            </w:r>
            <w:r>
              <w:rPr>
                <w:rFonts w:hint="eastAsia"/>
                <w:kern w:val="2"/>
                <w:sz w:val="21"/>
                <w:szCs w:val="21"/>
              </w:rPr>
              <w:t>时变</w:t>
            </w:r>
            <w:r>
              <w:rPr>
                <w:kern w:val="2"/>
                <w:sz w:val="21"/>
                <w:szCs w:val="21"/>
              </w:rPr>
              <w:t>分析与</w:t>
            </w:r>
            <w:r>
              <w:rPr>
                <w:rFonts w:hint="eastAsia"/>
                <w:kern w:val="2"/>
                <w:sz w:val="21"/>
                <w:szCs w:val="21"/>
              </w:rPr>
              <w:t>智能</w:t>
            </w:r>
            <w:r>
              <w:rPr>
                <w:kern w:val="2"/>
                <w:sz w:val="21"/>
                <w:szCs w:val="21"/>
              </w:rPr>
              <w:t>解译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时空大数据分析与</w:t>
            </w:r>
            <w:r>
              <w:rPr>
                <w:rFonts w:hint="eastAsia"/>
                <w:kern w:val="2"/>
                <w:sz w:val="21"/>
                <w:szCs w:val="21"/>
              </w:rPr>
              <w:t>深度</w:t>
            </w:r>
            <w:r>
              <w:rPr>
                <w:kern w:val="2"/>
                <w:sz w:val="21"/>
                <w:szCs w:val="21"/>
              </w:rPr>
              <w:t>挖掘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分布式/异构数据与</w:t>
            </w:r>
            <w:r>
              <w:rPr>
                <w:kern w:val="2"/>
                <w:sz w:val="21"/>
                <w:szCs w:val="21"/>
              </w:rPr>
              <w:t>信息融合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量子</w:t>
            </w:r>
            <w:r>
              <w:rPr>
                <w:rFonts w:hint="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太赫兹成像技术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实时目标检测与信息提取技术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移动终端虚拟现实与增强现实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飞行器总体设计与集成测试技术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</w:t>
            </w:r>
            <w:r>
              <w:rPr>
                <w:szCs w:val="21"/>
              </w:rPr>
              <w:t>平台</w:t>
            </w:r>
            <w:r>
              <w:rPr>
                <w:rFonts w:hint="eastAsia"/>
                <w:szCs w:val="21"/>
              </w:rPr>
              <w:t>与总体</w:t>
            </w:r>
            <w:r>
              <w:rPr>
                <w:szCs w:val="21"/>
              </w:rPr>
              <w:t>技术分会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空间系统创新思路与仿真技术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空间环境探测与预报技术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临近空间环境利用与飞行器航迹控制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泛在网通信与海量数据传输技术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先进飞行器技术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1050" w:firstLineChars="5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空间信息网络系统技术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多星任务智能快速规划技术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飞行器能源管理使用技术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运动目标观测技术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</w:t>
            </w:r>
            <w:r>
              <w:rPr>
                <w:szCs w:val="21"/>
              </w:rPr>
              <w:t>载荷技术分会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超轻量化成像载荷技术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1050" w:firstLineChars="5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先进探测器技术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1050" w:firstLineChars="5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高分辨光学</w:t>
            </w:r>
            <w:r>
              <w:rPr>
                <w:rFonts w:hint="eastAsia"/>
                <w:kern w:val="2"/>
                <w:sz w:val="21"/>
                <w:szCs w:val="21"/>
              </w:rPr>
              <w:t>/</w:t>
            </w:r>
            <w:r>
              <w:rPr>
                <w:kern w:val="2"/>
                <w:sz w:val="21"/>
                <w:szCs w:val="21"/>
              </w:rPr>
              <w:t>微波成像技术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1050" w:firstLineChars="5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智能焦平面技术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1050" w:firstLineChars="5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可见光/红外共口径技术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1050" w:firstLineChars="5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  <w:vAlign w:val="center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光学</w:t>
            </w:r>
            <w:r>
              <w:rPr>
                <w:rFonts w:hint="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与SAR融合技术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1050" w:firstLineChars="5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  <w:vAlign w:val="center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天基先进载荷技术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1050" w:firstLineChars="5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  <w:vAlign w:val="center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临近空间飞行器先进载荷技术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1050" w:firstLineChars="5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  <w:vAlign w:val="center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无人机低空遥感与倾斜摄影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1050" w:firstLineChars="5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多源多谱段数据融合处理技术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高</w:t>
            </w:r>
            <w:r>
              <w:rPr>
                <w:rFonts w:hint="eastAsia"/>
                <w:szCs w:val="21"/>
              </w:rPr>
              <w:t>性能</w:t>
            </w:r>
            <w:r>
              <w:rPr>
                <w:szCs w:val="21"/>
              </w:rPr>
              <w:t>处理技术分会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海洋态势感知技术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稀疏采样和重构处理技术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超高分辨率雷达系统与处理技术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超轻便大数据流实时处理技术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多时相数据联合解译技术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目标探测与识别技术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高分大数据分布式智能处理技术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高性能红外探测与成像技术应用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计算光谱与成像技术应用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互联网+新概念遥感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对地观测应用技术分会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民用遥感与测绘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灾害监测应用技术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气候变化监测应用技术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生态系统监测应用技术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农林监测应用技术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海洋</w:t>
            </w:r>
            <w:r>
              <w:rPr>
                <w:rFonts w:hint="eastAsia"/>
                <w:kern w:val="2"/>
                <w:sz w:val="21"/>
                <w:szCs w:val="21"/>
              </w:rPr>
              <w:t>监测</w:t>
            </w:r>
            <w:r>
              <w:rPr>
                <w:kern w:val="2"/>
                <w:sz w:val="21"/>
                <w:szCs w:val="21"/>
              </w:rPr>
              <w:t>应用技术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智慧城市应用技术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时空大数据服务技术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全球地理空间基准数据研制与应用技术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军民融合与商业航天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军民融合与商业开拓分会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互联网+新概念航天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低成本商业化卫星技术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对地观测知识产权与标准规范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对地观测国际交流合作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航天企业创新与金融合作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全球地理信息资源建设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商用遥感测绘应用技术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商用地理信息服务应用技术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通导遥一体化技术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遥感导航技术融合应用分会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高精度遥感对地定位技术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基于北斗的地理空间基准数据验证技术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北斗+InSAR融合沉降监测技术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自动驾驶高分数据处理技术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62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>
            <w:pPr>
              <w:pStyle w:val="4"/>
              <w:kinsoku w:val="0"/>
              <w:overflowPunct w:val="0"/>
              <w:spacing w:line="404" w:lineRule="exact"/>
              <w:ind w:left="393" w:leftChars="187" w:firstLine="0" w:firstLineChars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位置服务应用技术</w:t>
            </w:r>
          </w:p>
        </w:tc>
        <w:tc>
          <w:tcPr>
            <w:tcW w:w="2205" w:type="dxa"/>
            <w:vMerge w:val="continue"/>
            <w:shd w:val="clear" w:color="auto" w:fill="FFFFFF"/>
            <w:vAlign w:val="center"/>
          </w:tcPr>
          <w:p>
            <w:pPr>
              <w:ind w:firstLine="480"/>
              <w:rPr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rPr>
          <w:rFonts w:hint="eastAsia" w:ascii="微软雅黑" w:hAnsi="微软雅黑" w:eastAsia="微软雅黑" w:cs="宋体"/>
          <w:kern w:val="0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4176"/>
    <w:multiLevelType w:val="multilevel"/>
    <w:tmpl w:val="5A3E417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328BE"/>
    <w:rsid w:val="0EF32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adjustRightInd w:val="0"/>
      <w:spacing w:line="360" w:lineRule="auto"/>
      <w:ind w:left="35" w:leftChars="35" w:firstLine="200" w:firstLineChars="200"/>
      <w:jc w:val="left"/>
    </w:pPr>
    <w:rPr>
      <w:rFonts w:ascii="Times New Roman" w:hAnsi="Times New Roman" w:eastAsia="仿宋_GB2312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2019-02-27T08:40:00Z</dcterms:created>
  <dc:creator>G</dc:creator>
  <cp:lastModifiedBy>G</cp:lastModifiedBy>
  <dcterms:modified xsi:type="dcterms:W3CDTF">2019-02-27T08:41:47Z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